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 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he/him.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Bonaparte,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Lambert.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 Lambert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she/her,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sidebar.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Maeser 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underinvestment,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infrastructure-related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change-makers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90-second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eligibility.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hello@ctemomentum.com,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hello@ctemomentum.com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hello@ctemomentum.com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inbox.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poweryourfuture.ctemomentum.com,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091024_PYF info session_edited (Completed  09/12/24)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18,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s_Wat0AJn3MVD4gcxN3cxWQ9PFqZ6n34ANaYm1R0mu_fUY0_fx-vuoSUg1vIatwFICrcQYgOnH_7eN81a9OnaUhtdvY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